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0DB3C" w14:textId="61CBE382" w:rsidR="008610A7" w:rsidRPr="00037036" w:rsidRDefault="00040DEE" w:rsidP="008610A7">
      <w:pPr>
        <w:rPr>
          <w:rFonts w:ascii="Tahoma" w:hAnsi="Tahoma" w:cs="Tahoma"/>
          <w:b/>
          <w:bCs/>
          <w:lang w:val="de-DE"/>
        </w:rPr>
      </w:pPr>
      <w:r>
        <w:rPr>
          <w:rFonts w:ascii="Tahoma" w:hAnsi="Tahoma" w:cs="Tahoma"/>
          <w:b/>
          <w:bCs/>
          <w:lang w:val="de-DE"/>
        </w:rPr>
        <w:t xml:space="preserve">Bräuche - </w:t>
      </w:r>
      <w:r w:rsidR="008610A7" w:rsidRPr="00037036">
        <w:rPr>
          <w:rFonts w:ascii="Tahoma" w:hAnsi="Tahoma" w:cs="Tahoma"/>
          <w:b/>
          <w:bCs/>
          <w:lang w:val="de-DE"/>
        </w:rPr>
        <w:t>Heiliger Martin</w:t>
      </w:r>
      <w:r>
        <w:rPr>
          <w:rFonts w:ascii="Tahoma" w:hAnsi="Tahoma" w:cs="Tahoma"/>
          <w:b/>
          <w:bCs/>
          <w:lang w:val="de-DE"/>
        </w:rPr>
        <w:t xml:space="preserve"> - Traditionen</w:t>
      </w:r>
    </w:p>
    <w:p w14:paraId="6C040FAC" w14:textId="71FA0483" w:rsidR="008610A7" w:rsidRDefault="008610A7" w:rsidP="008610A7">
      <w:pPr>
        <w:rPr>
          <w:rFonts w:ascii="Tahoma" w:hAnsi="Tahoma" w:cs="Tahoma"/>
          <w:b/>
          <w:bCs/>
          <w:lang w:val="de-DE"/>
        </w:rPr>
      </w:pPr>
    </w:p>
    <w:p w14:paraId="06A08CA0" w14:textId="6430B54A" w:rsidR="00040DEE" w:rsidRPr="00C033C0" w:rsidRDefault="00040DEE" w:rsidP="008610A7">
      <w:pPr>
        <w:rPr>
          <w:rFonts w:ascii="Tahoma" w:hAnsi="Tahoma" w:cs="Tahoma"/>
          <w:b/>
          <w:bCs/>
          <w:lang w:val="de-DE"/>
        </w:rPr>
      </w:pPr>
      <w:r>
        <w:rPr>
          <w:rFonts w:ascii="Tahoma" w:hAnsi="Tahoma" w:cs="Tahoma"/>
          <w:b/>
          <w:bCs/>
          <w:lang w:val="de-DE"/>
        </w:rPr>
        <w:t>Bräuche und Traditionen</w:t>
      </w:r>
      <w:r w:rsidR="002545BC">
        <w:rPr>
          <w:rFonts w:ascii="Tahoma" w:hAnsi="Tahoma" w:cs="Tahoma"/>
          <w:b/>
          <w:bCs/>
          <w:lang w:val="de-DE"/>
        </w:rPr>
        <w:t xml:space="preserve"> rund um den Martintag</w:t>
      </w:r>
    </w:p>
    <w:p w14:paraId="72DA3557" w14:textId="77777777" w:rsidR="008610A7" w:rsidRDefault="008610A7" w:rsidP="008610A7">
      <w:pPr>
        <w:rPr>
          <w:rFonts w:ascii="Tahoma" w:hAnsi="Tahoma" w:cs="Tahoma"/>
          <w:lang w:val="de-DE"/>
        </w:rPr>
      </w:pPr>
    </w:p>
    <w:p w14:paraId="1E21AA5A" w14:textId="796A7A56" w:rsidR="008610A7" w:rsidRPr="00D402E2" w:rsidRDefault="008610A7" w:rsidP="00473811">
      <w:pPr>
        <w:rPr>
          <w:rFonts w:ascii="Tahoma" w:hAnsi="Tahoma" w:cs="Tahoma"/>
          <w:sz w:val="18"/>
          <w:szCs w:val="18"/>
          <w:lang w:val="de-DE"/>
        </w:rPr>
      </w:pPr>
      <w:r>
        <w:rPr>
          <w:rFonts w:ascii="Tahoma" w:hAnsi="Tahoma" w:cs="Tahoma"/>
          <w:lang w:val="de-DE"/>
        </w:rPr>
        <w:t>Die Bräuche des Martintages hängen eng mit der Jahreszeit zusammen. Martini galt in der bäuerlichen Gesellschaft als Ende des Wirtschaftsjahres und war somit mit gutem Essen (</w:t>
      </w:r>
      <w:proofErr w:type="spellStart"/>
      <w:r>
        <w:rPr>
          <w:rFonts w:ascii="Tahoma" w:hAnsi="Tahoma" w:cs="Tahoma"/>
          <w:lang w:val="de-DE"/>
        </w:rPr>
        <w:t>Ganslessen</w:t>
      </w:r>
      <w:proofErr w:type="spellEnd"/>
      <w:r>
        <w:rPr>
          <w:rFonts w:ascii="Tahoma" w:hAnsi="Tahoma" w:cs="Tahoma"/>
          <w:lang w:val="de-DE"/>
        </w:rPr>
        <w:t xml:space="preserve">) und </w:t>
      </w:r>
      <w:proofErr w:type="spellStart"/>
      <w:r>
        <w:rPr>
          <w:rFonts w:ascii="Tahoma" w:hAnsi="Tahoma" w:cs="Tahoma"/>
          <w:lang w:val="de-DE"/>
        </w:rPr>
        <w:t>Heischegängen</w:t>
      </w:r>
      <w:proofErr w:type="spellEnd"/>
      <w:r>
        <w:rPr>
          <w:rFonts w:ascii="Tahoma" w:hAnsi="Tahoma" w:cs="Tahoma"/>
          <w:lang w:val="de-DE"/>
        </w:rPr>
        <w:t xml:space="preserve"> (Umzüge von vor allem sozial schlechter gestellten Menschen, die von </w:t>
      </w:r>
      <w:r w:rsidR="00CE75D6">
        <w:rPr>
          <w:rFonts w:ascii="Tahoma" w:hAnsi="Tahoma" w:cs="Tahoma"/>
          <w:lang w:val="de-DE"/>
        </w:rPr>
        <w:t>Wohlhabenderen</w:t>
      </w:r>
      <w:r>
        <w:rPr>
          <w:rFonts w:ascii="Tahoma" w:hAnsi="Tahoma" w:cs="Tahoma"/>
          <w:lang w:val="de-DE"/>
        </w:rPr>
        <w:t xml:space="preserve"> Geschenke wie Essen, Trinken oder Geld erbaten) verbunden. Heute sind noch die Umzüge von Kindergarten- bzw. Volksschulkindern mit ihren selbstgebastelten Laternen und den Martinsliedern üblich. Die Laternen sind ein Symbol für die Lichtgestalt Martin, galt er doch immer als positives Beispiel für Nächstenliebe. Natürlich sind Lichterbräuche in der dunklen Jahreszeit generell ein Zeichen für die Hoffnung auf das kommende Frühjahr – vergleiche auch die Bräuche zum Festtag der Heiligen Lucia am 13. Dezember.</w:t>
      </w:r>
      <w:r>
        <w:rPr>
          <w:rFonts w:ascii="Tahoma" w:hAnsi="Tahoma" w:cs="Tahoma"/>
          <w:lang w:val="de-DE"/>
        </w:rPr>
        <w:tab/>
      </w:r>
      <w:r>
        <w:rPr>
          <w:rFonts w:ascii="Tahoma" w:hAnsi="Tahoma" w:cs="Tahoma"/>
          <w:lang w:val="de-DE"/>
        </w:rPr>
        <w:tab/>
      </w:r>
      <w:r>
        <w:rPr>
          <w:rFonts w:ascii="Tahoma" w:hAnsi="Tahoma" w:cs="Tahoma"/>
          <w:lang w:val="de-DE"/>
        </w:rPr>
        <w:tab/>
      </w:r>
      <w:r>
        <w:rPr>
          <w:rFonts w:ascii="Tahoma" w:hAnsi="Tahoma" w:cs="Tahoma"/>
          <w:lang w:val="de-DE"/>
        </w:rPr>
        <w:tab/>
      </w:r>
      <w:r>
        <w:rPr>
          <w:rFonts w:ascii="Tahoma" w:hAnsi="Tahoma" w:cs="Tahoma"/>
          <w:lang w:val="de-DE"/>
        </w:rPr>
        <w:tab/>
      </w:r>
      <w:r>
        <w:rPr>
          <w:rFonts w:ascii="Tahoma" w:hAnsi="Tahoma" w:cs="Tahoma"/>
          <w:lang w:val="de-DE"/>
        </w:rPr>
        <w:tab/>
      </w:r>
      <w:r>
        <w:rPr>
          <w:rFonts w:ascii="Tahoma" w:hAnsi="Tahoma" w:cs="Tahoma"/>
          <w:lang w:val="de-DE"/>
        </w:rPr>
        <w:tab/>
      </w:r>
    </w:p>
    <w:p w14:paraId="0C90FA0B" w14:textId="77777777" w:rsidR="008610A7" w:rsidRDefault="008610A7" w:rsidP="008610A7">
      <w:pPr>
        <w:rPr>
          <w:rFonts w:ascii="Tahoma" w:hAnsi="Tahoma" w:cs="Tahoma"/>
          <w:lang w:val="de-DE"/>
        </w:rPr>
      </w:pPr>
    </w:p>
    <w:p w14:paraId="30D52614" w14:textId="6605B49A" w:rsidR="008610A7" w:rsidRDefault="008610A7" w:rsidP="008610A7">
      <w:pPr>
        <w:rPr>
          <w:rFonts w:ascii="Tahoma" w:hAnsi="Tahoma" w:cs="Tahoma"/>
          <w:lang w:val="de-DE"/>
        </w:rPr>
      </w:pPr>
      <w:r>
        <w:rPr>
          <w:rFonts w:ascii="Tahoma" w:hAnsi="Tahoma" w:cs="Tahoma"/>
          <w:lang w:val="de-DE"/>
        </w:rPr>
        <w:t xml:space="preserve">Ein weiterer „Brauch“ ist das Verspeisen der </w:t>
      </w:r>
      <w:proofErr w:type="spellStart"/>
      <w:r>
        <w:rPr>
          <w:rFonts w:ascii="Tahoma" w:hAnsi="Tahoma" w:cs="Tahoma"/>
          <w:lang w:val="de-DE"/>
        </w:rPr>
        <w:t>Martinigansl</w:t>
      </w:r>
      <w:proofErr w:type="spellEnd"/>
      <w:r>
        <w:rPr>
          <w:rFonts w:ascii="Tahoma" w:hAnsi="Tahoma" w:cs="Tahoma"/>
          <w:lang w:val="de-DE"/>
        </w:rPr>
        <w:t xml:space="preserve">, die um diese Zeit geschlachtet wurden, da man nicht alle Tiere über den Winter durchfüttern konnte. Traditionell ist auch das Martiniloben, das Segnen und „Loben“ des neuen jungen Weines, der am 11. November erstmals verkostet wird. Bis dahin spricht man nicht vom Wein, sondern vom Sturm und </w:t>
      </w:r>
      <w:r w:rsidR="008247BC">
        <w:rPr>
          <w:rFonts w:ascii="Tahoma" w:hAnsi="Tahoma" w:cs="Tahoma"/>
          <w:lang w:val="de-DE"/>
        </w:rPr>
        <w:t xml:space="preserve">später </w:t>
      </w:r>
      <w:r>
        <w:rPr>
          <w:rFonts w:ascii="Tahoma" w:hAnsi="Tahoma" w:cs="Tahoma"/>
          <w:lang w:val="de-DE"/>
        </w:rPr>
        <w:t>vom „Staubigen“ und es wird nicht mit „Prost“, sondern mit „Mahlzeit“ angestoßen. Die Weintaufen sind ein beliebter Brauch im Weinland Niederösterreich und oft stehen Prominente Pate für den jungen Wein.</w:t>
      </w:r>
    </w:p>
    <w:p w14:paraId="7C229BF0" w14:textId="77777777" w:rsidR="008610A7" w:rsidRDefault="008610A7" w:rsidP="008610A7">
      <w:pPr>
        <w:rPr>
          <w:rFonts w:ascii="Tahoma" w:hAnsi="Tahoma" w:cs="Tahoma"/>
          <w:lang w:val="de-DE"/>
        </w:rPr>
      </w:pPr>
    </w:p>
    <w:p w14:paraId="56C53BC0" w14:textId="77777777" w:rsidR="008610A7" w:rsidRPr="00572F22" w:rsidRDefault="008610A7" w:rsidP="008610A7">
      <w:pPr>
        <w:rPr>
          <w:rFonts w:ascii="Tahoma" w:hAnsi="Tahoma" w:cs="Tahoma"/>
          <w:b/>
          <w:bCs/>
          <w:lang w:val="de-DE"/>
        </w:rPr>
      </w:pPr>
      <w:r w:rsidRPr="00572F22">
        <w:rPr>
          <w:rFonts w:ascii="Tahoma" w:hAnsi="Tahoma" w:cs="Tahoma"/>
          <w:b/>
          <w:bCs/>
          <w:lang w:val="de-DE"/>
        </w:rPr>
        <w:t>Legenden</w:t>
      </w:r>
    </w:p>
    <w:p w14:paraId="67920E70" w14:textId="77777777" w:rsidR="008610A7" w:rsidRDefault="008610A7" w:rsidP="008610A7">
      <w:pPr>
        <w:rPr>
          <w:rFonts w:ascii="Tahoma" w:hAnsi="Tahoma" w:cs="Tahoma"/>
          <w:lang w:val="de-DE"/>
        </w:rPr>
      </w:pPr>
    </w:p>
    <w:p w14:paraId="6940C8C9" w14:textId="77777777" w:rsidR="008610A7" w:rsidRDefault="008610A7" w:rsidP="008610A7">
      <w:pPr>
        <w:rPr>
          <w:rFonts w:ascii="Tahoma" w:hAnsi="Tahoma" w:cs="Tahoma"/>
          <w:lang w:val="de-DE"/>
        </w:rPr>
      </w:pPr>
      <w:r>
        <w:rPr>
          <w:rFonts w:ascii="Tahoma" w:hAnsi="Tahoma" w:cs="Tahoma"/>
          <w:lang w:val="de-DE"/>
        </w:rPr>
        <w:t>Die Bräuche nehmen Bezug auf die Legenden, die sich um das Leben des heiligen Martin gebildet haben. Seine Ernennung zum Bischof im Jahr 371 wollte der bescheidene Martin abwenden, indem er sich im Gänsestall versteckte. Doch die Gänse verrieten ihn mit ihrem lauten Geschnatter und Martin wurde vom Volk zum Bischof ausgerufen.</w:t>
      </w:r>
    </w:p>
    <w:p w14:paraId="7563A8A6" w14:textId="77777777" w:rsidR="008610A7" w:rsidRDefault="008610A7" w:rsidP="008610A7">
      <w:pPr>
        <w:rPr>
          <w:rFonts w:ascii="Tahoma" w:hAnsi="Tahoma" w:cs="Tahoma"/>
          <w:lang w:val="de-DE"/>
        </w:rPr>
      </w:pPr>
    </w:p>
    <w:p w14:paraId="0B49DC26" w14:textId="77777777" w:rsidR="008610A7" w:rsidRDefault="008610A7" w:rsidP="008610A7">
      <w:pPr>
        <w:rPr>
          <w:rFonts w:ascii="Tahoma" w:hAnsi="Tahoma" w:cs="Tahoma"/>
          <w:lang w:val="de-DE"/>
        </w:rPr>
      </w:pPr>
      <w:r>
        <w:rPr>
          <w:rFonts w:ascii="Tahoma" w:hAnsi="Tahoma" w:cs="Tahoma"/>
          <w:lang w:val="de-DE"/>
        </w:rPr>
        <w:t>Dargestellt wir der Heilige Martin als römischer Soldat auf einem Pferd, der mit seinem Schwert seinen Mantel zerschneidet und mit einem Bettler teilt, oder als Bischof mit einer Gans. Die Mantellegende wird gerne bei Martinsfesten nachgespielt und soll den Wert des Teilens hervorheben. Der heilige Martin ist hier als Vorbild für soziales Handeln zu verstehen.</w:t>
      </w:r>
    </w:p>
    <w:p w14:paraId="2B8F4A63" w14:textId="77777777" w:rsidR="008610A7" w:rsidRDefault="008610A7" w:rsidP="008610A7">
      <w:pPr>
        <w:rPr>
          <w:rFonts w:ascii="Tahoma" w:hAnsi="Tahoma" w:cs="Tahoma"/>
          <w:lang w:val="de-DE"/>
        </w:rPr>
      </w:pPr>
      <w:r>
        <w:rPr>
          <w:rFonts w:ascii="Tahoma" w:hAnsi="Tahoma" w:cs="Tahoma"/>
          <w:lang w:val="de-DE"/>
        </w:rPr>
        <w:t xml:space="preserve">Martin ist nicht nur der Landespatron des Burgenlands, sondern auch Patron von Frankreich, der Ausrufer, der Bettler, der Bürstenbinder, Gänse, Gärtner, Gefangenen, Gerber, Gürtler, Handschuhmacher, Haustiere, Hirten, Hoteliers, Hufschmiede, Hutmacher, Lederhändler, Müller, Pferde, Reisenden, Schneider, Soldaten, Tuchhändler und Weber. </w:t>
      </w:r>
    </w:p>
    <w:p w14:paraId="332594BA" w14:textId="77777777" w:rsidR="008610A7" w:rsidRDefault="008610A7" w:rsidP="008610A7">
      <w:pPr>
        <w:rPr>
          <w:rFonts w:ascii="Tahoma" w:hAnsi="Tahoma" w:cs="Tahoma"/>
          <w:lang w:val="de-DE"/>
        </w:rPr>
      </w:pPr>
      <w:r>
        <w:rPr>
          <w:rFonts w:ascii="Tahoma" w:hAnsi="Tahoma" w:cs="Tahoma"/>
          <w:lang w:val="de-DE"/>
        </w:rPr>
        <w:t xml:space="preserve">Martini ist auch ein Lostag – vom Wetter des Tages schloss man auf das des Winters: </w:t>
      </w:r>
    </w:p>
    <w:p w14:paraId="43C77877" w14:textId="77777777" w:rsidR="008610A7" w:rsidRPr="00C033C0" w:rsidRDefault="008610A7" w:rsidP="008610A7">
      <w:pPr>
        <w:rPr>
          <w:rFonts w:ascii="Tahoma" w:hAnsi="Tahoma" w:cs="Tahoma"/>
          <w:lang w:val="de-DE"/>
        </w:rPr>
      </w:pPr>
      <w:r>
        <w:rPr>
          <w:rFonts w:ascii="Tahoma" w:hAnsi="Tahoma" w:cs="Tahoma"/>
        </w:rPr>
        <w:t>„</w:t>
      </w:r>
      <w:r w:rsidRPr="00597A6E">
        <w:rPr>
          <w:rFonts w:ascii="Tahoma" w:hAnsi="Tahoma" w:cs="Tahoma"/>
        </w:rPr>
        <w:t>Ist Martini klar und rein, bricht der Winter bald herein</w:t>
      </w:r>
      <w:r>
        <w:rPr>
          <w:rFonts w:ascii="Tahoma" w:hAnsi="Tahoma" w:cs="Tahoma"/>
        </w:rPr>
        <w:t>.“</w:t>
      </w:r>
    </w:p>
    <w:p w14:paraId="339784FC" w14:textId="77777777" w:rsidR="00526C7F" w:rsidRDefault="00526C7F">
      <w:pPr>
        <w:rPr>
          <w:lang w:val="de-DE"/>
        </w:rPr>
      </w:pPr>
    </w:p>
    <w:p w14:paraId="4BCAA3F2" w14:textId="7DE54A8F" w:rsidR="002545BC" w:rsidRDefault="002545BC">
      <w:pPr>
        <w:rPr>
          <w:noProof/>
        </w:rPr>
      </w:pPr>
    </w:p>
    <w:p w14:paraId="75E2433E" w14:textId="606A5731" w:rsidR="00040DEE" w:rsidRPr="00040DEE" w:rsidRDefault="002545BC">
      <w:pPr>
        <w:rPr>
          <w:rFonts w:ascii="Tahoma" w:hAnsi="Tahoma" w:cs="Tahoma"/>
          <w:sz w:val="20"/>
          <w:szCs w:val="20"/>
          <w:lang w:val="de-DE"/>
        </w:rPr>
      </w:pPr>
      <w:r>
        <w:rPr>
          <w:noProof/>
        </w:rPr>
        <w:lastRenderedPageBreak/>
        <w:drawing>
          <wp:anchor distT="0" distB="0" distL="114300" distR="114300" simplePos="0" relativeHeight="251659264" behindDoc="0" locked="0" layoutInCell="1" allowOverlap="1" wp14:anchorId="7DA0FA39" wp14:editId="2CF8418E">
            <wp:simplePos x="0" y="0"/>
            <wp:positionH relativeFrom="margin">
              <wp:posOffset>19050</wp:posOffset>
            </wp:positionH>
            <wp:positionV relativeFrom="paragraph">
              <wp:posOffset>0</wp:posOffset>
            </wp:positionV>
            <wp:extent cx="2645410" cy="3947160"/>
            <wp:effectExtent l="0" t="0" r="2540" b="0"/>
            <wp:wrapTopAndBottom/>
            <wp:docPr id="1496565926" name="Grafik 1" descr="Ein Bild, das Zeichnung, Bild, Pferd,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65926" name="Grafik 1" descr="Ein Bild, das Zeichnung, Bild, Pferd, Darstellung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5410" cy="3947160"/>
                    </a:xfrm>
                    <a:prstGeom prst="rect">
                      <a:avLst/>
                    </a:prstGeom>
                    <a:noFill/>
                    <a:ln>
                      <a:noFill/>
                    </a:ln>
                  </pic:spPr>
                </pic:pic>
              </a:graphicData>
            </a:graphic>
          </wp:anchor>
        </w:drawing>
      </w:r>
      <w:r w:rsidRPr="00040DEE">
        <w:rPr>
          <w:rFonts w:ascii="Tahoma" w:hAnsi="Tahoma" w:cs="Tahoma"/>
          <w:sz w:val="20"/>
          <w:szCs w:val="20"/>
          <w:lang w:val="de-DE"/>
        </w:rPr>
        <w:t xml:space="preserve"> </w:t>
      </w:r>
      <w:r w:rsidR="00040DEE" w:rsidRPr="00040DEE">
        <w:rPr>
          <w:rFonts w:ascii="Tahoma" w:hAnsi="Tahoma" w:cs="Tahoma"/>
          <w:sz w:val="20"/>
          <w:szCs w:val="20"/>
          <w:lang w:val="de-DE"/>
        </w:rPr>
        <w:t xml:space="preserve">(Bild: Hinterglasbild von Johann </w:t>
      </w:r>
      <w:proofErr w:type="spellStart"/>
      <w:r w:rsidR="00040DEE" w:rsidRPr="00040DEE">
        <w:rPr>
          <w:rFonts w:ascii="Tahoma" w:hAnsi="Tahoma" w:cs="Tahoma"/>
          <w:sz w:val="20"/>
          <w:szCs w:val="20"/>
          <w:lang w:val="de-DE"/>
        </w:rPr>
        <w:t>Pum</w:t>
      </w:r>
      <w:proofErr w:type="spellEnd"/>
      <w:r w:rsidR="00040DEE" w:rsidRPr="00040DEE">
        <w:rPr>
          <w:rFonts w:ascii="Tahoma" w:hAnsi="Tahoma" w:cs="Tahoma"/>
          <w:sz w:val="20"/>
          <w:szCs w:val="20"/>
          <w:lang w:val="de-DE"/>
        </w:rPr>
        <w:t xml:space="preserve"> aus </w:t>
      </w:r>
      <w:proofErr w:type="spellStart"/>
      <w:r w:rsidR="00040DEE" w:rsidRPr="00040DEE">
        <w:rPr>
          <w:rFonts w:ascii="Tahoma" w:hAnsi="Tahoma" w:cs="Tahoma"/>
          <w:sz w:val="20"/>
          <w:szCs w:val="20"/>
          <w:lang w:val="de-DE"/>
        </w:rPr>
        <w:t>Sandl</w:t>
      </w:r>
      <w:proofErr w:type="spellEnd"/>
      <w:r w:rsidR="00040DEE" w:rsidRPr="00040DEE">
        <w:rPr>
          <w:rFonts w:ascii="Tahoma" w:hAnsi="Tahoma" w:cs="Tahoma"/>
          <w:sz w:val="20"/>
          <w:szCs w:val="20"/>
          <w:lang w:val="de-DE"/>
        </w:rPr>
        <w:t>)</w:t>
      </w:r>
    </w:p>
    <w:sectPr w:rsidR="00040DEE" w:rsidRPr="00040DEE">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903B0" w14:textId="77777777" w:rsidR="004762BA" w:rsidRDefault="004762BA" w:rsidP="00F03E99">
      <w:r>
        <w:separator/>
      </w:r>
    </w:p>
  </w:endnote>
  <w:endnote w:type="continuationSeparator" w:id="0">
    <w:p w14:paraId="7D2E3BB9" w14:textId="77777777" w:rsidR="004762BA" w:rsidRDefault="004762BA" w:rsidP="00F0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A9F9" w14:textId="718CAFDC" w:rsidR="00F03E99" w:rsidRPr="00F03E99" w:rsidRDefault="00F03E99" w:rsidP="00F03E99">
    <w:pPr>
      <w:pStyle w:val="Fuzeile"/>
      <w:jc w:val="center"/>
      <w:rPr>
        <w:rFonts w:ascii="Tahoma" w:hAnsi="Tahoma" w:cs="Tahoma"/>
        <w:sz w:val="18"/>
        <w:szCs w:val="18"/>
        <w:lang w:val="de-DE"/>
      </w:rPr>
    </w:pPr>
    <w:r w:rsidRPr="00F03E99">
      <w:rPr>
        <w:rFonts w:ascii="Tahoma" w:hAnsi="Tahoma" w:cs="Tahoma"/>
        <w:sz w:val="18"/>
        <w:szCs w:val="18"/>
        <w:lang w:val="de-DE"/>
      </w:rPr>
      <w:t xml:space="preserve">Volkskultur Niederösterreich – ein Betrieb der </w:t>
    </w:r>
    <w:proofErr w:type="spellStart"/>
    <w:proofErr w:type="gramStart"/>
    <w:r w:rsidRPr="00F03E99">
      <w:rPr>
        <w:rFonts w:ascii="Tahoma" w:hAnsi="Tahoma" w:cs="Tahoma"/>
        <w:sz w:val="18"/>
        <w:szCs w:val="18"/>
        <w:lang w:val="de-DE"/>
      </w:rPr>
      <w:t>Kultur.Region.Niederösterreich</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100BF" w14:textId="77777777" w:rsidR="004762BA" w:rsidRDefault="004762BA" w:rsidP="00F03E99">
      <w:r>
        <w:separator/>
      </w:r>
    </w:p>
  </w:footnote>
  <w:footnote w:type="continuationSeparator" w:id="0">
    <w:p w14:paraId="07156731" w14:textId="77777777" w:rsidR="004762BA" w:rsidRDefault="004762BA" w:rsidP="00F03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7430" w14:textId="136F2AA4" w:rsidR="00F03E99" w:rsidRDefault="00F03E99" w:rsidP="00F03E99">
    <w:pPr>
      <w:pStyle w:val="Kopfzeile"/>
      <w:jc w:val="right"/>
    </w:pPr>
    <w:r>
      <w:rPr>
        <w:noProof/>
      </w:rPr>
      <w:drawing>
        <wp:inline distT="0" distB="0" distL="0" distR="0" wp14:anchorId="15ED1EB9" wp14:editId="64F5970E">
          <wp:extent cx="2072640" cy="377426"/>
          <wp:effectExtent l="0" t="0" r="3810" b="3810"/>
          <wp:docPr id="1436017277" name="Grafik 1" descr="Ein Bild, das Text, Schrift, gelb,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7277" name="Grafik 1" descr="Ein Bild, das Text, Schrift, gelb,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106093" cy="383518"/>
                  </a:xfrm>
                  <a:prstGeom prst="rect">
                    <a:avLst/>
                  </a:prstGeom>
                </pic:spPr>
              </pic:pic>
            </a:graphicData>
          </a:graphic>
        </wp:inline>
      </w:drawing>
    </w:r>
  </w:p>
  <w:p w14:paraId="4A7BD250" w14:textId="77777777" w:rsidR="00F03E99" w:rsidRDefault="00F03E9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99"/>
    <w:rsid w:val="00040DEE"/>
    <w:rsid w:val="001A3D6B"/>
    <w:rsid w:val="002545BC"/>
    <w:rsid w:val="00395048"/>
    <w:rsid w:val="00443ECC"/>
    <w:rsid w:val="00473811"/>
    <w:rsid w:val="004762BA"/>
    <w:rsid w:val="004B5396"/>
    <w:rsid w:val="00526C7F"/>
    <w:rsid w:val="005F4D8F"/>
    <w:rsid w:val="006A5CF8"/>
    <w:rsid w:val="00814BD1"/>
    <w:rsid w:val="008247BC"/>
    <w:rsid w:val="008610A7"/>
    <w:rsid w:val="00CE75D6"/>
    <w:rsid w:val="00E96C09"/>
    <w:rsid w:val="00EB5A10"/>
    <w:rsid w:val="00F03E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29F33"/>
  <w15:chartTrackingRefBased/>
  <w15:docId w15:val="{155F6B39-D6F9-4A79-8D97-47D88C73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10A7"/>
  </w:style>
  <w:style w:type="paragraph" w:styleId="berschrift1">
    <w:name w:val="heading 1"/>
    <w:basedOn w:val="Standard"/>
    <w:next w:val="Standard"/>
    <w:link w:val="berschrift1Zchn"/>
    <w:uiPriority w:val="9"/>
    <w:qFormat/>
    <w:rsid w:val="00F03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03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03E9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03E9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03E9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03E9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03E9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03E9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03E9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3E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03E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03E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03E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03E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03E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3E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3E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3E99"/>
    <w:rPr>
      <w:rFonts w:eastAsiaTheme="majorEastAsia" w:cstheme="majorBidi"/>
      <w:color w:val="272727" w:themeColor="text1" w:themeTint="D8"/>
    </w:rPr>
  </w:style>
  <w:style w:type="paragraph" w:styleId="Titel">
    <w:name w:val="Title"/>
    <w:basedOn w:val="Standard"/>
    <w:next w:val="Standard"/>
    <w:link w:val="TitelZchn"/>
    <w:uiPriority w:val="10"/>
    <w:qFormat/>
    <w:rsid w:val="00F03E9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3E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03E9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03E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03E9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03E99"/>
    <w:rPr>
      <w:i/>
      <w:iCs/>
      <w:color w:val="404040" w:themeColor="text1" w:themeTint="BF"/>
    </w:rPr>
  </w:style>
  <w:style w:type="paragraph" w:styleId="Listenabsatz">
    <w:name w:val="List Paragraph"/>
    <w:basedOn w:val="Standard"/>
    <w:uiPriority w:val="34"/>
    <w:qFormat/>
    <w:rsid w:val="00F03E99"/>
    <w:pPr>
      <w:ind w:left="720"/>
      <w:contextualSpacing/>
    </w:pPr>
  </w:style>
  <w:style w:type="character" w:styleId="IntensiveHervorhebung">
    <w:name w:val="Intense Emphasis"/>
    <w:basedOn w:val="Absatz-Standardschriftart"/>
    <w:uiPriority w:val="21"/>
    <w:qFormat/>
    <w:rsid w:val="00F03E99"/>
    <w:rPr>
      <w:i/>
      <w:iCs/>
      <w:color w:val="0F4761" w:themeColor="accent1" w:themeShade="BF"/>
    </w:rPr>
  </w:style>
  <w:style w:type="paragraph" w:styleId="IntensivesZitat">
    <w:name w:val="Intense Quote"/>
    <w:basedOn w:val="Standard"/>
    <w:next w:val="Standard"/>
    <w:link w:val="IntensivesZitatZchn"/>
    <w:uiPriority w:val="30"/>
    <w:qFormat/>
    <w:rsid w:val="00F03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03E99"/>
    <w:rPr>
      <w:i/>
      <w:iCs/>
      <w:color w:val="0F4761" w:themeColor="accent1" w:themeShade="BF"/>
    </w:rPr>
  </w:style>
  <w:style w:type="character" w:styleId="IntensiverVerweis">
    <w:name w:val="Intense Reference"/>
    <w:basedOn w:val="Absatz-Standardschriftart"/>
    <w:uiPriority w:val="32"/>
    <w:qFormat/>
    <w:rsid w:val="00F03E99"/>
    <w:rPr>
      <w:b/>
      <w:bCs/>
      <w:smallCaps/>
      <w:color w:val="0F4761" w:themeColor="accent1" w:themeShade="BF"/>
      <w:spacing w:val="5"/>
    </w:rPr>
  </w:style>
  <w:style w:type="paragraph" w:styleId="Kopfzeile">
    <w:name w:val="header"/>
    <w:basedOn w:val="Standard"/>
    <w:link w:val="KopfzeileZchn"/>
    <w:uiPriority w:val="99"/>
    <w:unhideWhenUsed/>
    <w:rsid w:val="00F03E99"/>
    <w:pPr>
      <w:tabs>
        <w:tab w:val="center" w:pos="4536"/>
        <w:tab w:val="right" w:pos="9072"/>
      </w:tabs>
    </w:pPr>
  </w:style>
  <w:style w:type="character" w:customStyle="1" w:styleId="KopfzeileZchn">
    <w:name w:val="Kopfzeile Zchn"/>
    <w:basedOn w:val="Absatz-Standardschriftart"/>
    <w:link w:val="Kopfzeile"/>
    <w:uiPriority w:val="99"/>
    <w:rsid w:val="00F03E99"/>
  </w:style>
  <w:style w:type="paragraph" w:styleId="Fuzeile">
    <w:name w:val="footer"/>
    <w:basedOn w:val="Standard"/>
    <w:link w:val="FuzeileZchn"/>
    <w:uiPriority w:val="99"/>
    <w:unhideWhenUsed/>
    <w:rsid w:val="00F03E99"/>
    <w:pPr>
      <w:tabs>
        <w:tab w:val="center" w:pos="4536"/>
        <w:tab w:val="right" w:pos="9072"/>
      </w:tabs>
    </w:pPr>
  </w:style>
  <w:style w:type="character" w:customStyle="1" w:styleId="FuzeileZchn">
    <w:name w:val="Fußzeile Zchn"/>
    <w:basedOn w:val="Absatz-Standardschriftart"/>
    <w:link w:val="Fuzeile"/>
    <w:uiPriority w:val="99"/>
    <w:rsid w:val="00F03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2331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Zizala - Volkskultur Niederösterreich</dc:creator>
  <cp:keywords/>
  <dc:description/>
  <cp:lastModifiedBy>Wolfgang Gramann, CMC</cp:lastModifiedBy>
  <cp:revision>6</cp:revision>
  <cp:lastPrinted>2025-09-15T08:50:00Z</cp:lastPrinted>
  <dcterms:created xsi:type="dcterms:W3CDTF">2025-09-12T09:31:00Z</dcterms:created>
  <dcterms:modified xsi:type="dcterms:W3CDTF">2025-09-23T14:13:00Z</dcterms:modified>
</cp:coreProperties>
</file>