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5758E" w14:textId="5F92AD4A" w:rsidR="00F03E99" w:rsidRDefault="00395048" w:rsidP="00F03E99">
      <w:pPr>
        <w:rPr>
          <w:rFonts w:ascii="Tahoma" w:hAnsi="Tahoma" w:cs="Tahoma"/>
          <w:b/>
          <w:bCs/>
          <w:lang w:val="de-DE"/>
        </w:rPr>
      </w:pPr>
      <w:r>
        <w:rPr>
          <w:rFonts w:ascii="Tahoma" w:hAnsi="Tahoma" w:cs="Tahoma"/>
          <w:b/>
          <w:bCs/>
          <w:lang w:val="de-DE"/>
        </w:rPr>
        <w:t xml:space="preserve">Bräuche - </w:t>
      </w:r>
      <w:r w:rsidR="00F03E99" w:rsidRPr="008F596D">
        <w:rPr>
          <w:rFonts w:ascii="Tahoma" w:hAnsi="Tahoma" w:cs="Tahoma"/>
          <w:b/>
          <w:bCs/>
          <w:lang w:val="de-DE"/>
        </w:rPr>
        <w:t>Heiliger Martin</w:t>
      </w:r>
      <w:r w:rsidR="003B7EF5">
        <w:rPr>
          <w:rFonts w:ascii="Tahoma" w:hAnsi="Tahoma" w:cs="Tahoma"/>
          <w:b/>
          <w:bCs/>
          <w:lang w:val="de-DE"/>
        </w:rPr>
        <w:t xml:space="preserve"> - Geschichtliches</w:t>
      </w:r>
    </w:p>
    <w:p w14:paraId="33F91F80" w14:textId="77777777" w:rsidR="00A662D6" w:rsidRDefault="00A662D6" w:rsidP="00F03E99">
      <w:pPr>
        <w:rPr>
          <w:rFonts w:ascii="Tahoma" w:hAnsi="Tahoma" w:cs="Tahoma"/>
          <w:b/>
          <w:bCs/>
          <w:lang w:val="de-DE"/>
        </w:rPr>
      </w:pPr>
    </w:p>
    <w:p w14:paraId="7F083413" w14:textId="30A8C5F5" w:rsidR="00F03E99" w:rsidRPr="008F596D" w:rsidRDefault="00F03E99" w:rsidP="00F03E99">
      <w:pPr>
        <w:rPr>
          <w:rFonts w:ascii="Tahoma" w:hAnsi="Tahoma" w:cs="Tahoma"/>
          <w:b/>
          <w:bCs/>
          <w:lang w:val="de-DE"/>
        </w:rPr>
      </w:pPr>
      <w:r w:rsidRPr="008F596D">
        <w:rPr>
          <w:rFonts w:ascii="Tahoma" w:hAnsi="Tahoma" w:cs="Tahoma"/>
          <w:b/>
          <w:bCs/>
          <w:lang w:val="de-DE"/>
        </w:rPr>
        <w:t>Geschichtliche Fakten</w:t>
      </w:r>
      <w:r w:rsidR="00E845C5">
        <w:rPr>
          <w:rFonts w:ascii="Tahoma" w:hAnsi="Tahoma" w:cs="Tahoma"/>
          <w:b/>
          <w:bCs/>
          <w:lang w:val="de-DE"/>
        </w:rPr>
        <w:t xml:space="preserve"> zum Heiligen Martin</w:t>
      </w:r>
    </w:p>
    <w:p w14:paraId="78C2BE4D" w14:textId="77777777" w:rsidR="00F03E99" w:rsidRPr="008F596D" w:rsidRDefault="00F03E99" w:rsidP="00F03E99">
      <w:pPr>
        <w:rPr>
          <w:rFonts w:ascii="Tahoma" w:hAnsi="Tahoma" w:cs="Tahoma"/>
          <w:lang w:val="de-DE"/>
        </w:rPr>
      </w:pPr>
    </w:p>
    <w:p w14:paraId="6EE67444" w14:textId="2D1E919A" w:rsidR="00F03E99" w:rsidRPr="00C033C0" w:rsidRDefault="00F03E99" w:rsidP="00F03E99">
      <w:pPr>
        <w:rPr>
          <w:rFonts w:ascii="Tahoma" w:hAnsi="Tahoma" w:cs="Tahoma"/>
        </w:rPr>
      </w:pPr>
      <w:r w:rsidRPr="00363456">
        <w:rPr>
          <w:rFonts w:ascii="Tahoma" w:hAnsi="Tahoma" w:cs="Tahoma"/>
        </w:rPr>
        <w:t xml:space="preserve">Martin </w:t>
      </w:r>
      <w:r>
        <w:rPr>
          <w:rFonts w:ascii="Tahoma" w:hAnsi="Tahoma" w:cs="Tahoma"/>
        </w:rPr>
        <w:t>wurde</w:t>
      </w:r>
      <w:r w:rsidRPr="00363456">
        <w:rPr>
          <w:rFonts w:ascii="Tahoma" w:hAnsi="Tahoma" w:cs="Tahoma"/>
        </w:rPr>
        <w:t xml:space="preserve"> um 316</w:t>
      </w:r>
      <w:r w:rsidRPr="00C033C0">
        <w:rPr>
          <w:rFonts w:ascii="Tahoma" w:hAnsi="Tahoma" w:cs="Tahoma"/>
        </w:rPr>
        <w:t>/317 als Sohn eines römischen Tribun</w:t>
      </w:r>
      <w:r>
        <w:rPr>
          <w:rFonts w:ascii="Tahoma" w:hAnsi="Tahoma" w:cs="Tahoma"/>
        </w:rPr>
        <w:t>s</w:t>
      </w:r>
      <w:r w:rsidRPr="00C033C0">
        <w:rPr>
          <w:rFonts w:ascii="Tahoma" w:hAnsi="Tahoma" w:cs="Tahoma"/>
        </w:rPr>
        <w:t xml:space="preserve"> – also eines römischen Beamten</w:t>
      </w:r>
      <w:r>
        <w:rPr>
          <w:rFonts w:ascii="Tahoma" w:hAnsi="Tahoma" w:cs="Tahoma"/>
        </w:rPr>
        <w:t xml:space="preserve"> bzw. Offiziers</w:t>
      </w:r>
      <w:r w:rsidRPr="00C033C0">
        <w:rPr>
          <w:rFonts w:ascii="Tahoma" w:hAnsi="Tahoma" w:cs="Tahoma"/>
        </w:rPr>
        <w:t xml:space="preserve"> und somit in gehobener Stellung </w:t>
      </w:r>
      <w:r>
        <w:rPr>
          <w:rFonts w:ascii="Tahoma" w:hAnsi="Tahoma" w:cs="Tahoma"/>
        </w:rPr>
        <w:t>–</w:t>
      </w:r>
      <w:r w:rsidRPr="00C033C0">
        <w:rPr>
          <w:rFonts w:ascii="Tahoma" w:hAnsi="Tahoma" w:cs="Tahoma"/>
        </w:rPr>
        <w:t xml:space="preserve"> </w:t>
      </w:r>
      <w:r w:rsidRPr="00363456">
        <w:rPr>
          <w:rFonts w:ascii="Tahoma" w:hAnsi="Tahoma" w:cs="Tahoma"/>
        </w:rPr>
        <w:t>in</w:t>
      </w:r>
      <w:r>
        <w:rPr>
          <w:rFonts w:ascii="Tahoma" w:hAnsi="Tahoma" w:cs="Tahoma"/>
        </w:rPr>
        <w:t xml:space="preserve"> </w:t>
      </w:r>
      <w:r w:rsidRPr="00363456">
        <w:rPr>
          <w:rFonts w:ascii="Tahoma" w:hAnsi="Tahoma" w:cs="Tahoma"/>
        </w:rPr>
        <w:t xml:space="preserve">Sabaria, dem heutigen </w:t>
      </w:r>
      <w:r w:rsidRPr="00C033C0">
        <w:rPr>
          <w:rFonts w:ascii="Tahoma" w:hAnsi="Tahoma" w:cs="Tahoma"/>
        </w:rPr>
        <w:t>Szombathely</w:t>
      </w:r>
      <w:r>
        <w:rPr>
          <w:rFonts w:ascii="Tahoma" w:hAnsi="Tahoma" w:cs="Tahoma"/>
        </w:rPr>
        <w:t xml:space="preserve"> (</w:t>
      </w:r>
      <w:r w:rsidRPr="00363456">
        <w:rPr>
          <w:rFonts w:ascii="Tahoma" w:hAnsi="Tahoma" w:cs="Tahoma"/>
        </w:rPr>
        <w:t>Steinamanger</w:t>
      </w:r>
      <w:r>
        <w:rPr>
          <w:rFonts w:ascii="Tahoma" w:hAnsi="Tahoma" w:cs="Tahoma"/>
        </w:rPr>
        <w:t>)</w:t>
      </w:r>
      <w:r w:rsidRPr="00363456">
        <w:rPr>
          <w:rFonts w:ascii="Tahoma" w:hAnsi="Tahoma" w:cs="Tahoma"/>
        </w:rPr>
        <w:t xml:space="preserve"> in Ungarn, geboren</w:t>
      </w:r>
      <w:r w:rsidRPr="00C033C0">
        <w:rPr>
          <w:rFonts w:ascii="Tahoma" w:hAnsi="Tahoma" w:cs="Tahoma"/>
        </w:rPr>
        <w:t xml:space="preserve">. Schon mit 15 Jahren wurde </w:t>
      </w:r>
      <w:r>
        <w:rPr>
          <w:rFonts w:ascii="Tahoma" w:hAnsi="Tahoma" w:cs="Tahoma"/>
        </w:rPr>
        <w:t>er auf Wunsch des Vaters</w:t>
      </w:r>
      <w:r w:rsidRPr="00C033C0">
        <w:rPr>
          <w:rFonts w:ascii="Tahoma" w:hAnsi="Tahoma" w:cs="Tahoma"/>
        </w:rPr>
        <w:t xml:space="preserve"> römischer Soldat in der kaiserlichen Armee</w:t>
      </w:r>
      <w:r>
        <w:rPr>
          <w:rFonts w:ascii="Tahoma" w:hAnsi="Tahoma" w:cs="Tahoma"/>
        </w:rPr>
        <w:t xml:space="preserve">. Er wurde zur Leibwache Kaiser Konstantins einberufen und </w:t>
      </w:r>
      <w:r w:rsidRPr="00C033C0">
        <w:rPr>
          <w:rFonts w:ascii="Tahoma" w:hAnsi="Tahoma" w:cs="Tahoma"/>
        </w:rPr>
        <w:t>bald zum Offizier befördert</w:t>
      </w:r>
      <w:r>
        <w:rPr>
          <w:rFonts w:ascii="Tahoma" w:hAnsi="Tahoma" w:cs="Tahoma"/>
        </w:rPr>
        <w:t>.</w:t>
      </w:r>
      <w:r w:rsidRPr="00C033C0">
        <w:rPr>
          <w:rFonts w:ascii="Tahoma" w:hAnsi="Tahoma" w:cs="Tahoma"/>
        </w:rPr>
        <w:t xml:space="preserve"> </w:t>
      </w:r>
      <w:r>
        <w:rPr>
          <w:rFonts w:ascii="Tahoma" w:hAnsi="Tahoma" w:cs="Tahoma"/>
        </w:rPr>
        <w:t xml:space="preserve">Schon in jungen Jahren </w:t>
      </w:r>
      <w:r w:rsidRPr="00C033C0">
        <w:rPr>
          <w:rFonts w:ascii="Tahoma" w:hAnsi="Tahoma" w:cs="Tahoma"/>
        </w:rPr>
        <w:t xml:space="preserve">ließ er sich taufen und wurde Christ. </w:t>
      </w:r>
    </w:p>
    <w:p w14:paraId="1A075223" w14:textId="77777777" w:rsidR="00F03E99" w:rsidRPr="00C033C0" w:rsidRDefault="00F03E99" w:rsidP="00F03E99">
      <w:pPr>
        <w:rPr>
          <w:rFonts w:ascii="Tahoma" w:hAnsi="Tahoma" w:cs="Tahoma"/>
        </w:rPr>
      </w:pPr>
    </w:p>
    <w:p w14:paraId="25E6BEE4" w14:textId="77777777" w:rsidR="00F03E99" w:rsidRPr="00C033C0" w:rsidRDefault="00F03E99" w:rsidP="00F03E99">
      <w:pPr>
        <w:rPr>
          <w:rFonts w:ascii="Tahoma" w:hAnsi="Tahoma" w:cs="Tahoma"/>
          <w:b/>
          <w:bCs/>
        </w:rPr>
      </w:pPr>
      <w:r w:rsidRPr="00C033C0">
        <w:rPr>
          <w:rFonts w:ascii="Tahoma" w:hAnsi="Tahoma" w:cs="Tahoma"/>
          <w:b/>
          <w:bCs/>
        </w:rPr>
        <w:t>Christliche Religion im römischen Reich im 4. Jahrhundert</w:t>
      </w:r>
    </w:p>
    <w:p w14:paraId="2035F0D2" w14:textId="77777777" w:rsidR="00F03E99" w:rsidRPr="00C033C0" w:rsidRDefault="00F03E99" w:rsidP="00F03E99">
      <w:pPr>
        <w:rPr>
          <w:rFonts w:ascii="Tahoma" w:hAnsi="Tahoma" w:cs="Tahoma"/>
        </w:rPr>
      </w:pPr>
    </w:p>
    <w:p w14:paraId="50646069" w14:textId="77777777" w:rsidR="00F03E99" w:rsidRDefault="00F03E99" w:rsidP="00F03E99">
      <w:pPr>
        <w:rPr>
          <w:rFonts w:ascii="Tahoma" w:hAnsi="Tahoma" w:cs="Tahoma"/>
        </w:rPr>
      </w:pPr>
      <w:r w:rsidRPr="00C033C0">
        <w:rPr>
          <w:rFonts w:ascii="Tahoma" w:hAnsi="Tahoma" w:cs="Tahoma"/>
        </w:rPr>
        <w:t>Im 4. Jahrhundert war die christliche Religion im römischen Reich schon sehr verbreitet. 312 – vor der Schlacht an der Milvischen Brücke – soll Kaiser Konstantin im Traum ein Flammenkreuz erschienen sein, das er als christliches Kreuz deutete. Daraufhin erlaubte Konstantin den Christen, ihre Religion, die davor zeitweise verboten</w:t>
      </w:r>
      <w:r>
        <w:rPr>
          <w:rFonts w:ascii="Tahoma" w:hAnsi="Tahoma" w:cs="Tahoma"/>
        </w:rPr>
        <w:t xml:space="preserve"> und blutig verfolgt worden war</w:t>
      </w:r>
      <w:r w:rsidRPr="00C033C0">
        <w:rPr>
          <w:rFonts w:ascii="Tahoma" w:hAnsi="Tahoma" w:cs="Tahoma"/>
        </w:rPr>
        <w:t>, frei aus</w:t>
      </w:r>
      <w:r>
        <w:rPr>
          <w:rFonts w:ascii="Tahoma" w:hAnsi="Tahoma" w:cs="Tahoma"/>
        </w:rPr>
        <w:t>zu</w:t>
      </w:r>
      <w:r w:rsidRPr="00C033C0">
        <w:rPr>
          <w:rFonts w:ascii="Tahoma" w:hAnsi="Tahoma" w:cs="Tahoma"/>
        </w:rPr>
        <w:t>üben. Damit sicherte er sich die Unterstützung der Christen – auch in der Armee.</w:t>
      </w:r>
      <w:r>
        <w:rPr>
          <w:rFonts w:ascii="Tahoma" w:hAnsi="Tahoma" w:cs="Tahoma"/>
        </w:rPr>
        <w:t xml:space="preserve"> Kaiser Konstantin ließ sich erst auf dem Sterbebett taufen.</w:t>
      </w:r>
    </w:p>
    <w:p w14:paraId="35D377DC" w14:textId="77777777" w:rsidR="00F03E99" w:rsidRPr="00C033C0" w:rsidRDefault="00F03E99" w:rsidP="00F03E99">
      <w:pPr>
        <w:rPr>
          <w:rFonts w:ascii="Tahoma" w:hAnsi="Tahoma" w:cs="Tahoma"/>
        </w:rPr>
      </w:pPr>
    </w:p>
    <w:p w14:paraId="0CA9F2FD" w14:textId="77777777" w:rsidR="00F03E99" w:rsidRPr="00C033C0" w:rsidRDefault="00F03E99" w:rsidP="00F03E99">
      <w:pPr>
        <w:rPr>
          <w:rFonts w:ascii="Tahoma" w:hAnsi="Tahoma" w:cs="Tahoma"/>
          <w:b/>
          <w:bCs/>
        </w:rPr>
      </w:pPr>
      <w:r w:rsidRPr="00C033C0">
        <w:rPr>
          <w:rFonts w:ascii="Tahoma" w:hAnsi="Tahoma" w:cs="Tahoma"/>
          <w:b/>
          <w:bCs/>
        </w:rPr>
        <w:t>Kirchliche Laufbahn Martins</w:t>
      </w:r>
    </w:p>
    <w:p w14:paraId="6EDB92FF" w14:textId="77777777" w:rsidR="00F03E99" w:rsidRPr="00C033C0" w:rsidRDefault="00F03E99" w:rsidP="00F03E99">
      <w:pPr>
        <w:rPr>
          <w:rFonts w:ascii="Tahoma" w:hAnsi="Tahoma" w:cs="Tahoma"/>
        </w:rPr>
      </w:pPr>
    </w:p>
    <w:p w14:paraId="78A33E97" w14:textId="77777777" w:rsidR="00F03E99" w:rsidRPr="00C033C0" w:rsidRDefault="00F03E99" w:rsidP="00F03E99">
      <w:pPr>
        <w:rPr>
          <w:rFonts w:ascii="Tahoma" w:hAnsi="Tahoma" w:cs="Tahoma"/>
        </w:rPr>
      </w:pPr>
      <w:r w:rsidRPr="00C033C0">
        <w:rPr>
          <w:rFonts w:ascii="Tahoma" w:hAnsi="Tahoma" w:cs="Tahoma"/>
        </w:rPr>
        <w:t>Als Christ war Martin der Schüler des Bischofs Hilarius von Poitiers (315-397) und er missionierte in dessen Auftrag in seiner Heimat und an der Ostküste der Adria. Mit Hilarius gründete Martin 361 auch das erste abendländische Eremitenkloster in Frankreich.</w:t>
      </w:r>
    </w:p>
    <w:p w14:paraId="29A50DBC" w14:textId="77777777" w:rsidR="00F03E99" w:rsidRPr="00C033C0" w:rsidRDefault="00F03E99" w:rsidP="00F03E99">
      <w:pPr>
        <w:rPr>
          <w:rFonts w:ascii="Tahoma" w:hAnsi="Tahoma" w:cs="Tahoma"/>
        </w:rPr>
      </w:pPr>
      <w:r w:rsidRPr="00C033C0">
        <w:rPr>
          <w:rFonts w:ascii="Tahoma" w:hAnsi="Tahoma" w:cs="Tahoma"/>
        </w:rPr>
        <w:t>371 wurde Martin zum Bischof von Tours (Frankreich) ausgerufen.</w:t>
      </w:r>
    </w:p>
    <w:p w14:paraId="3C0CA7E9" w14:textId="77777777" w:rsidR="00F03E99" w:rsidRPr="00C033C0" w:rsidRDefault="00F03E99" w:rsidP="00F03E99">
      <w:pPr>
        <w:rPr>
          <w:rFonts w:ascii="Tahoma" w:hAnsi="Tahoma" w:cs="Tahoma"/>
        </w:rPr>
      </w:pPr>
    </w:p>
    <w:p w14:paraId="4C925B7A" w14:textId="77777777" w:rsidR="00F03E99" w:rsidRPr="00C033C0" w:rsidRDefault="00F03E99" w:rsidP="00F03E99">
      <w:pPr>
        <w:rPr>
          <w:rFonts w:ascii="Tahoma" w:hAnsi="Tahoma" w:cs="Tahoma"/>
        </w:rPr>
      </w:pPr>
      <w:r w:rsidRPr="00C033C0">
        <w:rPr>
          <w:rFonts w:ascii="Tahoma" w:hAnsi="Tahoma" w:cs="Tahoma"/>
        </w:rPr>
        <w:t xml:space="preserve">Am </w:t>
      </w:r>
      <w:r w:rsidRPr="00363456">
        <w:rPr>
          <w:rFonts w:ascii="Tahoma" w:hAnsi="Tahoma" w:cs="Tahoma"/>
        </w:rPr>
        <w:t>8. November 397</w:t>
      </w:r>
      <w:r w:rsidRPr="00C033C0">
        <w:rPr>
          <w:rFonts w:ascii="Tahoma" w:hAnsi="Tahoma" w:cs="Tahoma"/>
        </w:rPr>
        <w:t xml:space="preserve"> starb Martin auf einer Pastoralreise</w:t>
      </w:r>
      <w:r w:rsidRPr="00363456">
        <w:rPr>
          <w:rFonts w:ascii="Tahoma" w:hAnsi="Tahoma" w:cs="Tahoma"/>
        </w:rPr>
        <w:t xml:space="preserve"> in Candes bei Tours in Frankreich</w:t>
      </w:r>
      <w:r w:rsidRPr="00C033C0">
        <w:rPr>
          <w:rFonts w:ascii="Tahoma" w:hAnsi="Tahoma" w:cs="Tahoma"/>
        </w:rPr>
        <w:t>.</w:t>
      </w:r>
    </w:p>
    <w:p w14:paraId="25CC3C40" w14:textId="77777777" w:rsidR="00F03E99" w:rsidRPr="00C033C0" w:rsidRDefault="00F03E99" w:rsidP="00F03E99">
      <w:pPr>
        <w:rPr>
          <w:rFonts w:ascii="Tahoma" w:hAnsi="Tahoma" w:cs="Tahoma"/>
        </w:rPr>
      </w:pPr>
      <w:r w:rsidRPr="00C033C0">
        <w:rPr>
          <w:rFonts w:ascii="Tahoma" w:hAnsi="Tahoma" w:cs="Tahoma"/>
        </w:rPr>
        <w:t>Sein Grab, über dem im 5. Jahrhundert eine Kirche errichtet wurde, war bald einer der wichtigsten Pilgerort</w:t>
      </w:r>
      <w:r>
        <w:rPr>
          <w:rFonts w:ascii="Tahoma" w:hAnsi="Tahoma" w:cs="Tahoma"/>
        </w:rPr>
        <w:t>e</w:t>
      </w:r>
      <w:r w:rsidRPr="00C033C0">
        <w:rPr>
          <w:rFonts w:ascii="Tahoma" w:hAnsi="Tahoma" w:cs="Tahoma"/>
        </w:rPr>
        <w:t xml:space="preserve"> in </w:t>
      </w:r>
      <w:r>
        <w:rPr>
          <w:rFonts w:ascii="Tahoma" w:hAnsi="Tahoma" w:cs="Tahoma"/>
        </w:rPr>
        <w:t>Frankreich</w:t>
      </w:r>
      <w:r w:rsidRPr="00C033C0">
        <w:rPr>
          <w:rFonts w:ascii="Tahoma" w:hAnsi="Tahoma" w:cs="Tahoma"/>
        </w:rPr>
        <w:t>.</w:t>
      </w:r>
    </w:p>
    <w:p w14:paraId="2730306E" w14:textId="77777777" w:rsidR="00F03E99" w:rsidRPr="00C033C0" w:rsidRDefault="00F03E99" w:rsidP="00F03E99">
      <w:pPr>
        <w:rPr>
          <w:rFonts w:ascii="Tahoma" w:hAnsi="Tahoma" w:cs="Tahoma"/>
        </w:rPr>
      </w:pPr>
    </w:p>
    <w:p w14:paraId="7EBEA2E1" w14:textId="77777777" w:rsidR="00F03E99" w:rsidRPr="00C033C0" w:rsidRDefault="00F03E99" w:rsidP="00F03E99">
      <w:pPr>
        <w:rPr>
          <w:rFonts w:ascii="Tahoma" w:hAnsi="Tahoma" w:cs="Tahoma"/>
        </w:rPr>
      </w:pPr>
      <w:r w:rsidRPr="00C033C0">
        <w:rPr>
          <w:rFonts w:ascii="Tahoma" w:hAnsi="Tahoma" w:cs="Tahoma"/>
        </w:rPr>
        <w:t xml:space="preserve">Martin </w:t>
      </w:r>
      <w:r>
        <w:rPr>
          <w:rFonts w:ascii="Tahoma" w:hAnsi="Tahoma" w:cs="Tahoma"/>
        </w:rPr>
        <w:t>war der</w:t>
      </w:r>
      <w:r w:rsidRPr="00C033C0">
        <w:rPr>
          <w:rFonts w:ascii="Tahoma" w:hAnsi="Tahoma" w:cs="Tahoma"/>
        </w:rPr>
        <w:t xml:space="preserve"> erste Nicht-Märtyrer</w:t>
      </w:r>
      <w:r>
        <w:rPr>
          <w:rFonts w:ascii="Tahoma" w:hAnsi="Tahoma" w:cs="Tahoma"/>
        </w:rPr>
        <w:t>, der als Heiliger verehrt wurde</w:t>
      </w:r>
      <w:r w:rsidRPr="00C033C0">
        <w:rPr>
          <w:rFonts w:ascii="Tahoma" w:hAnsi="Tahoma" w:cs="Tahoma"/>
        </w:rPr>
        <w:t>. Seit dem 5. Jahrhundert wird sein Gedenktag am 11. November gefeiert.</w:t>
      </w:r>
    </w:p>
    <w:p w14:paraId="727B9768" w14:textId="77777777" w:rsidR="00F03E99" w:rsidRPr="00C033C0" w:rsidRDefault="00F03E99" w:rsidP="00F03E99">
      <w:pPr>
        <w:rPr>
          <w:rFonts w:ascii="Tahoma" w:hAnsi="Tahoma" w:cs="Tahoma"/>
        </w:rPr>
      </w:pPr>
    </w:p>
    <w:p w14:paraId="0A6C72C9" w14:textId="77777777" w:rsidR="00F03E99" w:rsidRPr="00721920" w:rsidRDefault="00F03E99" w:rsidP="00F03E99">
      <w:pPr>
        <w:rPr>
          <w:rFonts w:ascii="Tahoma" w:hAnsi="Tahoma" w:cs="Tahoma"/>
        </w:rPr>
      </w:pPr>
      <w:r>
        <w:rPr>
          <w:rFonts w:ascii="Tahoma" w:hAnsi="Tahoma" w:cs="Tahoma"/>
        </w:rPr>
        <w:t xml:space="preserve">Martin ist Patron verschiedener Diözesen, unter anderem von Eisenstadt, und Landespatron des Burgenlandes. In Niederösterreich sind Pfarrkirchen in Abstetten, Aschbach-Markt, Bad Fischau, Behamberg, Ernstbrunn, Franzen, Gastern, Göllersdorf, Grafenschlag, Großhaselbach, Groß-Schweinbarth, Haßbach, Jedenspeigen, Kirchberg an der Pielach, Lamm am Semmering, Klosterneuburg, Lassee, Leobersdorf, Mannersdorf am Leithagebirge, Marbach an der Donau, Markersdorf an der Pielach, Martinsberg, Martinsdorf, Mistelbach, Mühlbach am Manhartsberg, Neukirchen an der Wild, Obersulz, Oberthern, Ottenthal, Patzmannsdorf, Pfaffenschlag, Pillichsdorf, Pitten, Purk, Rust, Sallingstadt, St. Martin am Ybbsfelde, St. </w:t>
      </w:r>
      <w:r w:rsidRPr="00721920">
        <w:rPr>
          <w:rFonts w:ascii="Tahoma" w:hAnsi="Tahoma" w:cs="Tahoma"/>
        </w:rPr>
        <w:t>Martin im Waldviertel, Simonsfeld, Sitzendorf, Spannberg, Staatz, Stollhofen, Türnitz, Waldkirchen, Weitersfeld, Witzelsdorf und Zöbing dem heiligen Martin geweiht.</w:t>
      </w:r>
    </w:p>
    <w:p w14:paraId="7D7C4230" w14:textId="77777777" w:rsidR="00F03E99" w:rsidRPr="00721920" w:rsidRDefault="00F03E99" w:rsidP="00F03E99">
      <w:pPr>
        <w:rPr>
          <w:rFonts w:ascii="Tahoma" w:hAnsi="Tahoma" w:cs="Tahoma"/>
        </w:rPr>
      </w:pPr>
    </w:p>
    <w:p w14:paraId="0087D2BF" w14:textId="77777777" w:rsidR="005350D5" w:rsidRDefault="00F03E99" w:rsidP="00F03E99">
      <w:pPr>
        <w:rPr>
          <w:rFonts w:ascii="Tahoma" w:hAnsi="Tahoma" w:cs="Tahoma"/>
          <w:sz w:val="20"/>
          <w:szCs w:val="20"/>
        </w:rPr>
      </w:pPr>
      <w:r w:rsidRPr="00721920">
        <w:rPr>
          <w:rFonts w:ascii="Tahoma" w:hAnsi="Tahoma" w:cs="Tahoma"/>
          <w:sz w:val="20"/>
          <w:szCs w:val="20"/>
        </w:rPr>
        <w:t>(Quelle: Alle heiligen Zeiten, Helga Maria Wolf, Hrsg. Volkskultur Niederösterreich</w:t>
      </w:r>
      <w:r>
        <w:rPr>
          <w:rFonts w:ascii="Tahoma" w:hAnsi="Tahoma" w:cs="Tahoma"/>
          <w:sz w:val="20"/>
          <w:szCs w:val="20"/>
        </w:rPr>
        <w:t>, Atzenbrugg, 2011.</w:t>
      </w:r>
    </w:p>
    <w:p w14:paraId="0468F69E" w14:textId="77777777" w:rsidR="00E845C5" w:rsidRDefault="00E845C5">
      <w:pPr>
        <w:rPr>
          <w:rFonts w:ascii="Tahoma" w:hAnsi="Tahoma" w:cs="Tahoma"/>
          <w:sz w:val="20"/>
          <w:szCs w:val="20"/>
        </w:rPr>
      </w:pPr>
    </w:p>
    <w:p w14:paraId="5A78D6E2" w14:textId="68D88872" w:rsidR="00E845C5" w:rsidRDefault="00E845C5">
      <w:pPr>
        <w:rPr>
          <w:rFonts w:ascii="Tahoma" w:hAnsi="Tahoma" w:cs="Tahoma"/>
          <w:sz w:val="20"/>
          <w:szCs w:val="20"/>
        </w:rPr>
      </w:pPr>
      <w:r>
        <w:rPr>
          <w:noProof/>
        </w:rPr>
        <w:lastRenderedPageBreak/>
        <w:drawing>
          <wp:anchor distT="0" distB="0" distL="114300" distR="114300" simplePos="0" relativeHeight="251659264" behindDoc="0" locked="0" layoutInCell="1" allowOverlap="1" wp14:anchorId="55F77047" wp14:editId="109B3F18">
            <wp:simplePos x="0" y="0"/>
            <wp:positionH relativeFrom="column">
              <wp:posOffset>0</wp:posOffset>
            </wp:positionH>
            <wp:positionV relativeFrom="paragraph">
              <wp:posOffset>151765</wp:posOffset>
            </wp:positionV>
            <wp:extent cx="3032760" cy="2274236"/>
            <wp:effectExtent l="0" t="0" r="0" b="0"/>
            <wp:wrapSquare wrapText="bothSides"/>
            <wp:docPr id="818615049" name="Grafik 1" descr="Ein Bild, das Kirche, Fenster, fleckiges Glas,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5049" name="Grafik 1" descr="Ein Bild, das Kirche, Fenster, fleckiges Glas, Gebäude enthält.&#10;&#10;KI-generierte Inhalte können fehlerhaft s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32760" cy="2274236"/>
                    </a:xfrm>
                    <a:prstGeom prst="rect">
                      <a:avLst/>
                    </a:prstGeom>
                    <a:noFill/>
                    <a:ln>
                      <a:noFill/>
                    </a:ln>
                  </pic:spPr>
                </pic:pic>
              </a:graphicData>
            </a:graphic>
          </wp:anchor>
        </w:drawing>
      </w:r>
    </w:p>
    <w:p w14:paraId="339784FC" w14:textId="49C9B6DB" w:rsidR="00526C7F" w:rsidRDefault="005350D5">
      <w:r>
        <w:rPr>
          <w:rFonts w:ascii="Tahoma" w:hAnsi="Tahoma" w:cs="Tahoma"/>
          <w:sz w:val="20"/>
          <w:szCs w:val="20"/>
        </w:rPr>
        <w:t xml:space="preserve">Bild: </w:t>
      </w:r>
      <w:r w:rsidR="00A662D6">
        <w:rPr>
          <w:rFonts w:ascii="Tahoma" w:hAnsi="Tahoma" w:cs="Tahoma"/>
          <w:sz w:val="20"/>
          <w:szCs w:val="20"/>
        </w:rPr>
        <w:t>Kirchenfenster, Foto: Dieter Schütz</w:t>
      </w:r>
      <w:r w:rsidR="00F03E99">
        <w:rPr>
          <w:rFonts w:ascii="Tahoma" w:hAnsi="Tahoma" w:cs="Tahoma"/>
          <w:sz w:val="20"/>
          <w:szCs w:val="20"/>
        </w:rPr>
        <w:t>)</w:t>
      </w:r>
    </w:p>
    <w:sectPr w:rsidR="00526C7F">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0E67F" w14:textId="77777777" w:rsidR="001F7043" w:rsidRDefault="001F7043" w:rsidP="00F03E99">
      <w:r>
        <w:separator/>
      </w:r>
    </w:p>
  </w:endnote>
  <w:endnote w:type="continuationSeparator" w:id="0">
    <w:p w14:paraId="16971CFE" w14:textId="77777777" w:rsidR="001F7043" w:rsidRDefault="001F7043" w:rsidP="00F03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A9F9" w14:textId="718CAFDC" w:rsidR="00F03E99" w:rsidRPr="00F03E99" w:rsidRDefault="00F03E99" w:rsidP="00F03E99">
    <w:pPr>
      <w:pStyle w:val="Fuzeile"/>
      <w:jc w:val="center"/>
      <w:rPr>
        <w:rFonts w:ascii="Tahoma" w:hAnsi="Tahoma" w:cs="Tahoma"/>
        <w:sz w:val="18"/>
        <w:szCs w:val="18"/>
        <w:lang w:val="de-DE"/>
      </w:rPr>
    </w:pPr>
    <w:r w:rsidRPr="00F03E99">
      <w:rPr>
        <w:rFonts w:ascii="Tahoma" w:hAnsi="Tahoma" w:cs="Tahoma"/>
        <w:sz w:val="18"/>
        <w:szCs w:val="18"/>
        <w:lang w:val="de-DE"/>
      </w:rPr>
      <w:t>Volkskultur Niederösterreich – ein Betrieb der Kultur.Region.Niederösterreich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59DFD" w14:textId="77777777" w:rsidR="001F7043" w:rsidRDefault="001F7043" w:rsidP="00F03E99">
      <w:r>
        <w:separator/>
      </w:r>
    </w:p>
  </w:footnote>
  <w:footnote w:type="continuationSeparator" w:id="0">
    <w:p w14:paraId="78A39898" w14:textId="77777777" w:rsidR="001F7043" w:rsidRDefault="001F7043" w:rsidP="00F03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F7430" w14:textId="136F2AA4" w:rsidR="00F03E99" w:rsidRDefault="00F03E99" w:rsidP="00F03E99">
    <w:pPr>
      <w:pStyle w:val="Kopfzeile"/>
      <w:jc w:val="right"/>
    </w:pPr>
    <w:r>
      <w:rPr>
        <w:noProof/>
      </w:rPr>
      <w:drawing>
        <wp:inline distT="0" distB="0" distL="0" distR="0" wp14:anchorId="15ED1EB9" wp14:editId="64F5970E">
          <wp:extent cx="2072640" cy="377426"/>
          <wp:effectExtent l="0" t="0" r="3810" b="3810"/>
          <wp:docPr id="1436017277" name="Grafik 1" descr="Ein Bild, das Text, Schrift, gelb,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7277" name="Grafik 1" descr="Ein Bild, das Text, Schrift, gelb,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106093" cy="383518"/>
                  </a:xfrm>
                  <a:prstGeom prst="rect">
                    <a:avLst/>
                  </a:prstGeom>
                </pic:spPr>
              </pic:pic>
            </a:graphicData>
          </a:graphic>
        </wp:inline>
      </w:drawing>
    </w:r>
  </w:p>
  <w:p w14:paraId="4A7BD250" w14:textId="77777777" w:rsidR="00F03E99" w:rsidRDefault="00F03E9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E99"/>
    <w:rsid w:val="001A3D6B"/>
    <w:rsid w:val="001F7043"/>
    <w:rsid w:val="00395048"/>
    <w:rsid w:val="003B7EF5"/>
    <w:rsid w:val="004B5396"/>
    <w:rsid w:val="00526C7F"/>
    <w:rsid w:val="005350D5"/>
    <w:rsid w:val="005F4D8F"/>
    <w:rsid w:val="00666EA9"/>
    <w:rsid w:val="006A5CF8"/>
    <w:rsid w:val="00814BD1"/>
    <w:rsid w:val="009704AB"/>
    <w:rsid w:val="00A662D6"/>
    <w:rsid w:val="00E845C5"/>
    <w:rsid w:val="00EB5A10"/>
    <w:rsid w:val="00F03E9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29F33"/>
  <w15:chartTrackingRefBased/>
  <w15:docId w15:val="{155F6B39-D6F9-4A79-8D97-47D88C735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03E99"/>
  </w:style>
  <w:style w:type="paragraph" w:styleId="berschrift1">
    <w:name w:val="heading 1"/>
    <w:basedOn w:val="Standard"/>
    <w:next w:val="Standard"/>
    <w:link w:val="berschrift1Zchn"/>
    <w:uiPriority w:val="9"/>
    <w:qFormat/>
    <w:rsid w:val="00F03E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03E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03E99"/>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03E99"/>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03E99"/>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03E99"/>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03E99"/>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03E99"/>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03E99"/>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03E9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03E9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03E9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03E9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03E9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03E99"/>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03E99"/>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03E99"/>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03E99"/>
    <w:rPr>
      <w:rFonts w:eastAsiaTheme="majorEastAsia" w:cstheme="majorBidi"/>
      <w:color w:val="272727" w:themeColor="text1" w:themeTint="D8"/>
    </w:rPr>
  </w:style>
  <w:style w:type="paragraph" w:styleId="Titel">
    <w:name w:val="Title"/>
    <w:basedOn w:val="Standard"/>
    <w:next w:val="Standard"/>
    <w:link w:val="TitelZchn"/>
    <w:uiPriority w:val="10"/>
    <w:qFormat/>
    <w:rsid w:val="00F03E99"/>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03E99"/>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03E99"/>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03E99"/>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03E99"/>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03E99"/>
    <w:rPr>
      <w:i/>
      <w:iCs/>
      <w:color w:val="404040" w:themeColor="text1" w:themeTint="BF"/>
    </w:rPr>
  </w:style>
  <w:style w:type="paragraph" w:styleId="Listenabsatz">
    <w:name w:val="List Paragraph"/>
    <w:basedOn w:val="Standard"/>
    <w:uiPriority w:val="34"/>
    <w:qFormat/>
    <w:rsid w:val="00F03E99"/>
    <w:pPr>
      <w:ind w:left="720"/>
      <w:contextualSpacing/>
    </w:pPr>
  </w:style>
  <w:style w:type="character" w:styleId="IntensiveHervorhebung">
    <w:name w:val="Intense Emphasis"/>
    <w:basedOn w:val="Absatz-Standardschriftart"/>
    <w:uiPriority w:val="21"/>
    <w:qFormat/>
    <w:rsid w:val="00F03E99"/>
    <w:rPr>
      <w:i/>
      <w:iCs/>
      <w:color w:val="0F4761" w:themeColor="accent1" w:themeShade="BF"/>
    </w:rPr>
  </w:style>
  <w:style w:type="paragraph" w:styleId="IntensivesZitat">
    <w:name w:val="Intense Quote"/>
    <w:basedOn w:val="Standard"/>
    <w:next w:val="Standard"/>
    <w:link w:val="IntensivesZitatZchn"/>
    <w:uiPriority w:val="30"/>
    <w:qFormat/>
    <w:rsid w:val="00F03E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03E99"/>
    <w:rPr>
      <w:i/>
      <w:iCs/>
      <w:color w:val="0F4761" w:themeColor="accent1" w:themeShade="BF"/>
    </w:rPr>
  </w:style>
  <w:style w:type="character" w:styleId="IntensiverVerweis">
    <w:name w:val="Intense Reference"/>
    <w:basedOn w:val="Absatz-Standardschriftart"/>
    <w:uiPriority w:val="32"/>
    <w:qFormat/>
    <w:rsid w:val="00F03E99"/>
    <w:rPr>
      <w:b/>
      <w:bCs/>
      <w:smallCaps/>
      <w:color w:val="0F4761" w:themeColor="accent1" w:themeShade="BF"/>
      <w:spacing w:val="5"/>
    </w:rPr>
  </w:style>
  <w:style w:type="paragraph" w:styleId="Kopfzeile">
    <w:name w:val="header"/>
    <w:basedOn w:val="Standard"/>
    <w:link w:val="KopfzeileZchn"/>
    <w:uiPriority w:val="99"/>
    <w:unhideWhenUsed/>
    <w:rsid w:val="00F03E99"/>
    <w:pPr>
      <w:tabs>
        <w:tab w:val="center" w:pos="4536"/>
        <w:tab w:val="right" w:pos="9072"/>
      </w:tabs>
    </w:pPr>
  </w:style>
  <w:style w:type="character" w:customStyle="1" w:styleId="KopfzeileZchn">
    <w:name w:val="Kopfzeile Zchn"/>
    <w:basedOn w:val="Absatz-Standardschriftart"/>
    <w:link w:val="Kopfzeile"/>
    <w:uiPriority w:val="99"/>
    <w:rsid w:val="00F03E99"/>
  </w:style>
  <w:style w:type="paragraph" w:styleId="Fuzeile">
    <w:name w:val="footer"/>
    <w:basedOn w:val="Standard"/>
    <w:link w:val="FuzeileZchn"/>
    <w:uiPriority w:val="99"/>
    <w:unhideWhenUsed/>
    <w:rsid w:val="00F03E99"/>
    <w:pPr>
      <w:tabs>
        <w:tab w:val="center" w:pos="4536"/>
        <w:tab w:val="right" w:pos="9072"/>
      </w:tabs>
    </w:pPr>
  </w:style>
  <w:style w:type="character" w:customStyle="1" w:styleId="FuzeileZchn">
    <w:name w:val="Fußzeile Zchn"/>
    <w:basedOn w:val="Absatz-Standardschriftart"/>
    <w:link w:val="Fuzeile"/>
    <w:uiPriority w:val="99"/>
    <w:rsid w:val="00F03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2453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Zizala - Volkskultur Niederösterreich</dc:creator>
  <cp:keywords/>
  <dc:description/>
  <cp:lastModifiedBy>Wolfgang Gramann, CMC</cp:lastModifiedBy>
  <cp:revision>5</cp:revision>
  <dcterms:created xsi:type="dcterms:W3CDTF">2025-09-11T13:24:00Z</dcterms:created>
  <dcterms:modified xsi:type="dcterms:W3CDTF">2025-09-23T14:11:00Z</dcterms:modified>
</cp:coreProperties>
</file>